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8"/>
        <w:tblW w:w="15138" w:type="dxa"/>
        <w:tblLayout w:type="fixed"/>
        <w:tblLook w:val="04A0"/>
      </w:tblPr>
      <w:tblGrid>
        <w:gridCol w:w="6138"/>
        <w:gridCol w:w="1890"/>
        <w:gridCol w:w="3060"/>
        <w:gridCol w:w="4050"/>
      </w:tblGrid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1034AE">
              <w:rPr>
                <w:rFonts w:cs="Arial"/>
                <w:b/>
                <w:sz w:val="22"/>
              </w:rPr>
              <w:t xml:space="preserve">Assignments for </w:t>
            </w:r>
            <w:r w:rsidRPr="001034AE">
              <w:rPr>
                <w:rFonts w:cs="Arial"/>
                <w:b/>
                <w:i/>
                <w:sz w:val="22"/>
              </w:rPr>
              <w:t>The Stranger</w:t>
            </w:r>
            <w:r>
              <w:rPr>
                <w:rFonts w:cs="Arial"/>
                <w:sz w:val="22"/>
              </w:rPr>
              <w:t xml:space="preserve">                        </w:t>
            </w:r>
            <w:r w:rsidR="009207F2">
              <w:rPr>
                <w:rFonts w:cs="Arial"/>
                <w:b/>
                <w:sz w:val="22"/>
              </w:rPr>
              <w:t xml:space="preserve"> A</w:t>
            </w:r>
            <w:r w:rsidRPr="006D3F04">
              <w:rPr>
                <w:rFonts w:cs="Arial"/>
                <w:b/>
                <w:sz w:val="22"/>
              </w:rPr>
              <w:t>-Day</w:t>
            </w:r>
            <w:r>
              <w:rPr>
                <w:rFonts w:cs="Arial"/>
                <w:sz w:val="22"/>
              </w:rPr>
              <w:br/>
            </w:r>
            <w:proofErr w:type="spellStart"/>
            <w:r w:rsidRPr="00B05AA6">
              <w:rPr>
                <w:rFonts w:cs="Arial"/>
                <w:sz w:val="22"/>
              </w:rPr>
              <w:t>Gulledge</w:t>
            </w:r>
            <w:proofErr w:type="spellEnd"/>
            <w:r w:rsidRPr="00B05AA6">
              <w:rPr>
                <w:rFonts w:cs="Arial"/>
                <w:sz w:val="22"/>
              </w:rPr>
              <w:t xml:space="preserve"> AP English IV</w:t>
            </w:r>
          </w:p>
        </w:tc>
        <w:tc>
          <w:tcPr>
            <w:tcW w:w="1890" w:type="dxa"/>
          </w:tcPr>
          <w:p w:rsidR="00AC5D57" w:rsidRPr="001034AE" w:rsidRDefault="00AC5D57" w:rsidP="00A80DEF">
            <w:pPr>
              <w:rPr>
                <w:rFonts w:cs="Arial"/>
                <w:b/>
                <w:sz w:val="22"/>
              </w:rPr>
            </w:pPr>
            <w:r w:rsidRPr="001034AE">
              <w:rPr>
                <w:rFonts w:cs="Arial"/>
                <w:b/>
                <w:sz w:val="22"/>
              </w:rPr>
              <w:t xml:space="preserve">Due Dates </w:t>
            </w:r>
          </w:p>
        </w:tc>
        <w:tc>
          <w:tcPr>
            <w:tcW w:w="3060" w:type="dxa"/>
          </w:tcPr>
          <w:p w:rsidR="00AC5D57" w:rsidRPr="001034AE" w:rsidRDefault="00AC5D57" w:rsidP="00A80DEF">
            <w:pPr>
              <w:rPr>
                <w:rFonts w:cs="Arial"/>
                <w:b/>
                <w:sz w:val="22"/>
              </w:rPr>
            </w:pPr>
            <w:r w:rsidRPr="001034AE">
              <w:rPr>
                <w:rFonts w:cs="Arial"/>
                <w:b/>
                <w:sz w:val="22"/>
              </w:rPr>
              <w:t>Class Discussion/Group Work/Lecture/Activities</w:t>
            </w:r>
          </w:p>
        </w:tc>
        <w:tc>
          <w:tcPr>
            <w:tcW w:w="4050" w:type="dxa"/>
          </w:tcPr>
          <w:p w:rsidR="00AC5D57" w:rsidRPr="00744A73" w:rsidRDefault="00AC5D57" w:rsidP="00A80DEF">
            <w:pPr>
              <w:rPr>
                <w:sz w:val="20"/>
                <w:szCs w:val="20"/>
              </w:rPr>
            </w:pPr>
            <w:r>
              <w:rPr>
                <w:b/>
                <w:sz w:val="22"/>
              </w:rPr>
              <w:t xml:space="preserve">Concepts and </w:t>
            </w:r>
            <w:r w:rsidRPr="001034AE">
              <w:rPr>
                <w:b/>
                <w:sz w:val="22"/>
              </w:rPr>
              <w:t>Themes to Consider</w:t>
            </w:r>
            <w:r>
              <w:rPr>
                <w:b/>
                <w:sz w:val="22"/>
              </w:rPr>
              <w:t>...</w:t>
            </w:r>
            <w:r>
              <w:rPr>
                <w:b/>
                <w:sz w:val="22"/>
              </w:rPr>
              <w:br/>
            </w:r>
            <w:r>
              <w:rPr>
                <w:sz w:val="20"/>
                <w:szCs w:val="20"/>
              </w:rPr>
              <w:t>(in addition to others we will discuss)</w:t>
            </w: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>Read Jean-Paul Sartre’s lecture, “Existentialism is a Humanism” and complete the accompanying fill-in-the-blank reading guide</w:t>
            </w:r>
          </w:p>
        </w:tc>
        <w:tc>
          <w:tcPr>
            <w:tcW w:w="189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</w:p>
        </w:tc>
        <w:tc>
          <w:tcPr>
            <w:tcW w:w="306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</w:p>
        </w:tc>
        <w:tc>
          <w:tcPr>
            <w:tcW w:w="4050" w:type="dxa"/>
          </w:tcPr>
          <w:p w:rsidR="00AC5D57" w:rsidRPr="00B05AA6" w:rsidRDefault="00AC5D57" w:rsidP="00A80DEF">
            <w:pPr>
              <w:rPr>
                <w:sz w:val="22"/>
              </w:rPr>
            </w:pPr>
            <w:r w:rsidRPr="00B05AA6">
              <w:rPr>
                <w:sz w:val="22"/>
              </w:rPr>
              <w:t>Components and characteristics of the Existentialist movement—which began in the 19</w:t>
            </w:r>
            <w:r w:rsidRPr="00B05AA6">
              <w:rPr>
                <w:sz w:val="22"/>
                <w:vertAlign w:val="superscript"/>
              </w:rPr>
              <w:t>th</w:t>
            </w:r>
            <w:r w:rsidRPr="00B05AA6">
              <w:rPr>
                <w:sz w:val="22"/>
              </w:rPr>
              <w:t xml:space="preserve"> century and became quite popular after WWII</w:t>
            </w: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>Read chapters 1-3 in Part I and answer the questions on the handout about the writing style and effect of the openi</w:t>
            </w:r>
            <w:r w:rsidR="009207F2">
              <w:rPr>
                <w:rFonts w:cs="Arial"/>
                <w:sz w:val="22"/>
              </w:rPr>
              <w:t xml:space="preserve">ng paragraphs.  </w:t>
            </w:r>
            <w:r w:rsidRPr="00B05AA6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1890" w:type="dxa"/>
          </w:tcPr>
          <w:p w:rsidR="009207F2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Thursday, </w:t>
            </w:r>
          </w:p>
          <w:p w:rsidR="00AC5D57" w:rsidRPr="00B05AA6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March 20</w:t>
            </w:r>
          </w:p>
        </w:tc>
        <w:tc>
          <w:tcPr>
            <w:tcW w:w="3060" w:type="dxa"/>
          </w:tcPr>
          <w:p w:rsidR="00AC5D57" w:rsidRDefault="00AC5D57" w:rsidP="00A80DE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6D3F04">
              <w:rPr>
                <w:rFonts w:cs="Arial"/>
                <w:sz w:val="22"/>
              </w:rPr>
              <w:t xml:space="preserve">Take quiz.  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6D3F04">
              <w:rPr>
                <w:rFonts w:cs="Arial"/>
                <w:sz w:val="22"/>
              </w:rPr>
              <w:t xml:space="preserve">Discuss handout.  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6D3F04">
              <w:rPr>
                <w:rFonts w:cs="Arial"/>
                <w:sz w:val="22"/>
              </w:rPr>
              <w:t xml:space="preserve">Take notes on the 1st two segments of the video lecture. 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6D3F04">
              <w:rPr>
                <w:rFonts w:cs="Arial"/>
                <w:sz w:val="22"/>
              </w:rPr>
              <w:t xml:space="preserve">Discuss lecture.  </w:t>
            </w:r>
          </w:p>
          <w:p w:rsidR="00AC5D57" w:rsidRPr="006D3F04" w:rsidRDefault="00AC5D57" w:rsidP="00A80DEF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2"/>
              </w:rPr>
            </w:pPr>
            <w:r w:rsidRPr="006D3F04">
              <w:rPr>
                <w:rFonts w:cs="Arial"/>
                <w:sz w:val="22"/>
              </w:rPr>
              <w:t xml:space="preserve"> Discuss the morality of </w:t>
            </w:r>
            <w:proofErr w:type="spellStart"/>
            <w:r w:rsidRPr="006D3F04">
              <w:rPr>
                <w:rFonts w:cs="Arial"/>
                <w:sz w:val="22"/>
              </w:rPr>
              <w:t>Mersault’s</w:t>
            </w:r>
            <w:proofErr w:type="spellEnd"/>
            <w:r w:rsidRPr="006D3F04">
              <w:rPr>
                <w:rFonts w:cs="Arial"/>
                <w:sz w:val="22"/>
              </w:rPr>
              <w:t xml:space="preserve"> choices.    </w:t>
            </w:r>
          </w:p>
        </w:tc>
        <w:tc>
          <w:tcPr>
            <w:tcW w:w="4050" w:type="dxa"/>
          </w:tcPr>
          <w:p w:rsidR="00AC5D57" w:rsidRDefault="00AC5D57" w:rsidP="00A80DE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034AE">
              <w:rPr>
                <w:sz w:val="22"/>
              </w:rPr>
              <w:t>Who/what determines morality?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B05AA6">
              <w:rPr>
                <w:sz w:val="22"/>
              </w:rPr>
              <w:t>How do you define your own moral code</w:t>
            </w:r>
            <w:r>
              <w:rPr>
                <w:sz w:val="22"/>
              </w:rPr>
              <w:t>?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When your moral code and the moral code of society’s systems are in conflict, which code do you follow?</w:t>
            </w:r>
          </w:p>
          <w:p w:rsidR="00AC5D57" w:rsidRPr="001034AE" w:rsidRDefault="00AC5D57" w:rsidP="00A80DEF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034AE">
              <w:rPr>
                <w:sz w:val="22"/>
              </w:rPr>
              <w:t xml:space="preserve">Theme: “Death is inevitable” so, then what?   </w:t>
            </w: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 xml:space="preserve">Read chapters 4-6 in Part I. </w:t>
            </w:r>
          </w:p>
          <w:p w:rsidR="00AC5D57" w:rsidRPr="009207F2" w:rsidRDefault="00AC5D57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Begin completing the existentialism packet </w:t>
            </w:r>
            <w:r w:rsidRPr="00B05AA6">
              <w:rPr>
                <w:rFonts w:cs="Arial"/>
                <w:sz w:val="22"/>
              </w:rPr>
              <w:t xml:space="preserve">which requires you to find and analyze those components of existentialism present in </w:t>
            </w:r>
            <w:r>
              <w:rPr>
                <w:rFonts w:cs="Arial"/>
                <w:i/>
                <w:sz w:val="22"/>
              </w:rPr>
              <w:t>The Stranger.</w:t>
            </w:r>
            <w:r w:rsidR="009207F2">
              <w:rPr>
                <w:rFonts w:cs="Arial"/>
                <w:i/>
                <w:sz w:val="22"/>
              </w:rPr>
              <w:t xml:space="preserve"> </w:t>
            </w:r>
            <w:r w:rsidR="009207F2">
              <w:rPr>
                <w:rFonts w:cs="Arial"/>
                <w:sz w:val="22"/>
              </w:rPr>
              <w:t xml:space="preserve">Prepare for reading check quiz on chapters 4-6.  </w:t>
            </w:r>
          </w:p>
        </w:tc>
        <w:tc>
          <w:tcPr>
            <w:tcW w:w="1890" w:type="dxa"/>
          </w:tcPr>
          <w:p w:rsidR="00AC5D57" w:rsidRPr="00B05AA6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Monday,</w:t>
            </w:r>
            <w:r>
              <w:rPr>
                <w:rFonts w:cs="Arial"/>
                <w:sz w:val="22"/>
              </w:rPr>
              <w:br/>
              <w:t>March 24</w:t>
            </w:r>
          </w:p>
        </w:tc>
        <w:tc>
          <w:tcPr>
            <w:tcW w:w="3060" w:type="dxa"/>
          </w:tcPr>
          <w:p w:rsidR="00AC5D57" w:rsidRDefault="00AC5D57" w:rsidP="00A80DE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DF5C56">
              <w:rPr>
                <w:rFonts w:cs="Arial"/>
                <w:sz w:val="22"/>
              </w:rPr>
              <w:t xml:space="preserve">Discuss 4-6.  </w:t>
            </w:r>
            <w:r>
              <w:rPr>
                <w:rFonts w:cs="Arial"/>
                <w:sz w:val="22"/>
              </w:rPr>
              <w:t xml:space="preserve">Focus on </w:t>
            </w:r>
            <w:proofErr w:type="spellStart"/>
            <w:r>
              <w:rPr>
                <w:rFonts w:cs="Arial"/>
                <w:sz w:val="22"/>
              </w:rPr>
              <w:t>Mersault</w:t>
            </w:r>
            <w:proofErr w:type="spellEnd"/>
            <w:r>
              <w:rPr>
                <w:rFonts w:cs="Arial"/>
                <w:sz w:val="22"/>
              </w:rPr>
              <w:t xml:space="preserve"> as symbol of indifferent universe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DF5C56">
              <w:rPr>
                <w:rFonts w:cs="Arial"/>
                <w:sz w:val="22"/>
              </w:rPr>
              <w:t>Watch 3</w:t>
            </w:r>
            <w:r w:rsidRPr="00DF5C56">
              <w:rPr>
                <w:rFonts w:cs="Arial"/>
                <w:sz w:val="22"/>
                <w:vertAlign w:val="superscript"/>
              </w:rPr>
              <w:t>rd</w:t>
            </w:r>
            <w:r w:rsidRPr="00DF5C56">
              <w:rPr>
                <w:rFonts w:cs="Arial"/>
                <w:sz w:val="22"/>
              </w:rPr>
              <w:t xml:space="preserve"> segment of video lecture.</w:t>
            </w:r>
          </w:p>
          <w:p w:rsidR="00AC5D57" w:rsidRPr="00DF5C56" w:rsidRDefault="00AC5D57" w:rsidP="00A80DEF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DF5C56">
              <w:rPr>
                <w:rFonts w:cs="Arial"/>
                <w:sz w:val="22"/>
              </w:rPr>
              <w:t xml:space="preserve">Work on </w:t>
            </w:r>
            <w:r>
              <w:rPr>
                <w:rFonts w:cs="Arial"/>
                <w:sz w:val="22"/>
              </w:rPr>
              <w:t xml:space="preserve">existentialism </w:t>
            </w:r>
            <w:r w:rsidRPr="00DF5C56">
              <w:rPr>
                <w:rFonts w:cs="Arial"/>
                <w:sz w:val="22"/>
              </w:rPr>
              <w:t xml:space="preserve">packet </w:t>
            </w:r>
          </w:p>
        </w:tc>
        <w:tc>
          <w:tcPr>
            <w:tcW w:w="4050" w:type="dxa"/>
          </w:tcPr>
          <w:p w:rsidR="00AC5D57" w:rsidRDefault="00AC5D57" w:rsidP="00A80DE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Sun/heat as symbols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 w:rsidRPr="00DF5C56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 xml:space="preserve">Style: meaning communicated through short sentences and sparse </w:t>
            </w:r>
            <w:r w:rsidRPr="00DF5C56">
              <w:rPr>
                <w:rFonts w:cs="Arial"/>
                <w:sz w:val="22"/>
              </w:rPr>
              <w:t xml:space="preserve">prose </w:t>
            </w:r>
            <w:r>
              <w:rPr>
                <w:rFonts w:cs="Arial"/>
                <w:sz w:val="22"/>
              </w:rPr>
              <w:t xml:space="preserve">vs. meaning communicated through </w:t>
            </w:r>
            <w:r w:rsidRPr="00DF5C56">
              <w:rPr>
                <w:rFonts w:cs="Arial"/>
                <w:sz w:val="22"/>
              </w:rPr>
              <w:t>personification and metaphor</w:t>
            </w:r>
          </w:p>
          <w:p w:rsidR="00AC5D57" w:rsidRPr="00DF5C56" w:rsidRDefault="00AC5D57" w:rsidP="00A80DEF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Camus’s idea of the absurdity of the human condition</w:t>
            </w: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>Read chapters 1-3 in Part II.</w:t>
            </w:r>
            <w:r w:rsidRPr="00B05AA6">
              <w:rPr>
                <w:rFonts w:cs="Arial"/>
                <w:sz w:val="22"/>
              </w:rPr>
              <w:br/>
              <w:t xml:space="preserve">Complete two thirds </w:t>
            </w:r>
            <w:proofErr w:type="gramStart"/>
            <w:r w:rsidRPr="00B05AA6">
              <w:rPr>
                <w:rFonts w:cs="Arial"/>
                <w:sz w:val="22"/>
              </w:rPr>
              <w:t>(  2</w:t>
            </w:r>
            <w:proofErr w:type="gramEnd"/>
            <w:r w:rsidRPr="00B05AA6">
              <w:rPr>
                <w:rFonts w:cs="Arial"/>
                <w:sz w:val="22"/>
              </w:rPr>
              <w:t>/3 ) of packet.</w:t>
            </w:r>
          </w:p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 xml:space="preserve">Prepare for quiz.  </w:t>
            </w:r>
          </w:p>
        </w:tc>
        <w:tc>
          <w:tcPr>
            <w:tcW w:w="1890" w:type="dxa"/>
          </w:tcPr>
          <w:p w:rsidR="00AC5D57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Wednesday,</w:t>
            </w:r>
          </w:p>
          <w:p w:rsidR="009207F2" w:rsidRPr="00B05AA6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March 26</w:t>
            </w:r>
          </w:p>
        </w:tc>
        <w:tc>
          <w:tcPr>
            <w:tcW w:w="3060" w:type="dxa"/>
          </w:tcPr>
          <w:p w:rsidR="00AC5D57" w:rsidRDefault="00AC5D57" w:rsidP="00A80DE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DF5C56">
              <w:rPr>
                <w:rFonts w:cs="Arial"/>
                <w:sz w:val="22"/>
              </w:rPr>
              <w:t xml:space="preserve">Take quiz.  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DF5C56">
              <w:rPr>
                <w:rFonts w:cs="Arial"/>
                <w:sz w:val="22"/>
              </w:rPr>
              <w:t>Discuss 1-3, Part II.</w:t>
            </w:r>
          </w:p>
          <w:p w:rsidR="00AC5D57" w:rsidRPr="00DF5C56" w:rsidRDefault="00AC5D57" w:rsidP="00A80DE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 w:rsidRPr="00DF5C56">
              <w:rPr>
                <w:rFonts w:cs="Arial"/>
                <w:sz w:val="22"/>
              </w:rPr>
              <w:t xml:space="preserve">Discuss packet.   </w:t>
            </w:r>
          </w:p>
        </w:tc>
        <w:tc>
          <w:tcPr>
            <w:tcW w:w="4050" w:type="dxa"/>
          </w:tcPr>
          <w:p w:rsidR="00AC5D57" w:rsidRDefault="00AC5D57" w:rsidP="00A80DE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Ways experience increases consciousness</w:t>
            </w:r>
          </w:p>
          <w:p w:rsidR="00AC5D57" w:rsidRPr="00744A73" w:rsidRDefault="00AC5D57" w:rsidP="00A80DEF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Tension between the desire for meaning vs. the absence of meaning</w:t>
            </w: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 xml:space="preserve">Read chapters 4-5 in Part II. </w:t>
            </w:r>
            <w:r w:rsidRPr="00B05AA6">
              <w:rPr>
                <w:rFonts w:cs="Arial"/>
                <w:sz w:val="22"/>
              </w:rPr>
              <w:br/>
              <w:t>Complete final third</w:t>
            </w:r>
            <w:r>
              <w:rPr>
                <w:rFonts w:cs="Arial"/>
                <w:sz w:val="22"/>
              </w:rPr>
              <w:t xml:space="preserve"> of packet.</w:t>
            </w:r>
            <w:r w:rsidRPr="00B05AA6">
              <w:rPr>
                <w:rFonts w:cs="Arial"/>
                <w:sz w:val="22"/>
              </w:rPr>
              <w:t xml:space="preserve">  </w:t>
            </w:r>
          </w:p>
        </w:tc>
        <w:tc>
          <w:tcPr>
            <w:tcW w:w="1890" w:type="dxa"/>
          </w:tcPr>
          <w:p w:rsidR="00AC5D57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Friday, </w:t>
            </w:r>
          </w:p>
          <w:p w:rsidR="009207F2" w:rsidRPr="00B05AA6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March 28</w:t>
            </w:r>
          </w:p>
        </w:tc>
        <w:tc>
          <w:tcPr>
            <w:tcW w:w="3060" w:type="dxa"/>
          </w:tcPr>
          <w:p w:rsidR="00AC5D57" w:rsidRDefault="00AC5D57" w:rsidP="00AC5D5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 w:rsidRPr="00AC5D57">
              <w:rPr>
                <w:rFonts w:cs="Arial"/>
                <w:sz w:val="22"/>
              </w:rPr>
              <w:t xml:space="preserve">Take quiz.  </w:t>
            </w:r>
          </w:p>
          <w:p w:rsidR="00AC5D57" w:rsidRPr="00AC5D57" w:rsidRDefault="00AC5D57" w:rsidP="00AC5D57">
            <w:pPr>
              <w:pStyle w:val="ListParagraph"/>
              <w:numPr>
                <w:ilvl w:val="0"/>
                <w:numId w:val="7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Discuss packet.</w:t>
            </w:r>
          </w:p>
          <w:p w:rsidR="00AC5D57" w:rsidRPr="00B05AA6" w:rsidRDefault="00AC5D57" w:rsidP="00A80DEF">
            <w:pPr>
              <w:rPr>
                <w:rFonts w:cs="Arial"/>
                <w:sz w:val="22"/>
              </w:rPr>
            </w:pPr>
          </w:p>
        </w:tc>
        <w:tc>
          <w:tcPr>
            <w:tcW w:w="4050" w:type="dxa"/>
          </w:tcPr>
          <w:p w:rsidR="00AC5D57" w:rsidRDefault="00AC5D57" w:rsidP="00A80DE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Consequences of society’s imposed structures of meaning </w:t>
            </w:r>
          </w:p>
          <w:p w:rsidR="00AC5D57" w:rsidRPr="001034AE" w:rsidRDefault="00AC5D57" w:rsidP="00A80DEF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Camus’s requirements for an authentic life</w:t>
            </w:r>
            <w:r w:rsidRPr="001034AE">
              <w:rPr>
                <w:rFonts w:cs="Arial"/>
                <w:sz w:val="22"/>
              </w:rPr>
              <w:t xml:space="preserve"> </w:t>
            </w: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 xml:space="preserve">Read the summary of Sartre’s </w:t>
            </w:r>
            <w:r w:rsidRPr="00B05AA6">
              <w:rPr>
                <w:rFonts w:cs="Arial"/>
                <w:i/>
                <w:sz w:val="22"/>
              </w:rPr>
              <w:t xml:space="preserve">The Myth of </w:t>
            </w:r>
            <w:proofErr w:type="spellStart"/>
            <w:r w:rsidRPr="00B05AA6">
              <w:rPr>
                <w:rFonts w:cs="Arial"/>
                <w:i/>
                <w:sz w:val="22"/>
              </w:rPr>
              <w:t>Sissyphus</w:t>
            </w:r>
            <w:proofErr w:type="spellEnd"/>
            <w:r w:rsidRPr="00B05AA6">
              <w:rPr>
                <w:rFonts w:cs="Arial"/>
                <w:i/>
                <w:sz w:val="22"/>
              </w:rPr>
              <w:t xml:space="preserve"> </w:t>
            </w:r>
            <w:r w:rsidRPr="00B05AA6">
              <w:rPr>
                <w:rFonts w:cs="Arial"/>
                <w:sz w:val="22"/>
              </w:rPr>
              <w:t>and be prepared to explain how Camus’s tenets of “the absurd” and the human condition are communicated through the myth.  Bring to class your written analysis</w:t>
            </w:r>
            <w:r>
              <w:rPr>
                <w:rFonts w:cs="Arial"/>
                <w:sz w:val="22"/>
              </w:rPr>
              <w:t xml:space="preserve"> </w:t>
            </w:r>
            <w:r w:rsidRPr="00B05AA6">
              <w:rPr>
                <w:rFonts w:cs="Arial"/>
                <w:sz w:val="22"/>
              </w:rPr>
              <w:t xml:space="preserve">of the various ways in which </w:t>
            </w:r>
            <w:proofErr w:type="spellStart"/>
            <w:r w:rsidRPr="00B05AA6">
              <w:rPr>
                <w:rFonts w:cs="Arial"/>
                <w:sz w:val="22"/>
              </w:rPr>
              <w:t>Mersault</w:t>
            </w:r>
            <w:proofErr w:type="spellEnd"/>
            <w:r w:rsidRPr="00B05AA6">
              <w:rPr>
                <w:rFonts w:cs="Arial"/>
                <w:sz w:val="22"/>
              </w:rPr>
              <w:t xml:space="preserve"> is similar to </w:t>
            </w:r>
            <w:proofErr w:type="spellStart"/>
            <w:r w:rsidRPr="00B05AA6">
              <w:rPr>
                <w:rFonts w:cs="Arial"/>
                <w:sz w:val="22"/>
              </w:rPr>
              <w:t>Sissyphus</w:t>
            </w:r>
            <w:proofErr w:type="spellEnd"/>
            <w:r w:rsidRPr="00B05AA6">
              <w:rPr>
                <w:rFonts w:cs="Arial"/>
                <w:sz w:val="22"/>
              </w:rPr>
              <w:t xml:space="preserve"> AND the ways your understanding of such similarities adds meaning to the novel.</w:t>
            </w:r>
          </w:p>
        </w:tc>
        <w:tc>
          <w:tcPr>
            <w:tcW w:w="1890" w:type="dxa"/>
          </w:tcPr>
          <w:p w:rsidR="00AC5D57" w:rsidRPr="00B05AA6" w:rsidRDefault="009207F2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Friday,</w:t>
            </w:r>
            <w:r>
              <w:rPr>
                <w:rFonts w:cs="Arial"/>
                <w:sz w:val="22"/>
              </w:rPr>
              <w:br/>
              <w:t>March 28</w:t>
            </w:r>
          </w:p>
        </w:tc>
        <w:tc>
          <w:tcPr>
            <w:tcW w:w="3060" w:type="dxa"/>
          </w:tcPr>
          <w:p w:rsidR="00AC5D57" w:rsidRDefault="00AC5D57" w:rsidP="00A80DE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Discussion of myth</w:t>
            </w:r>
          </w:p>
          <w:p w:rsidR="00AC5D57" w:rsidRDefault="00AC5D57" w:rsidP="00A80DE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Discussion of the absurd</w:t>
            </w:r>
          </w:p>
          <w:p w:rsidR="00AC5D57" w:rsidRPr="006D3F04" w:rsidRDefault="00AC5D57" w:rsidP="00A80DE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Review of novel and the way it communicates existentialist views</w:t>
            </w:r>
          </w:p>
        </w:tc>
        <w:tc>
          <w:tcPr>
            <w:tcW w:w="4050" w:type="dxa"/>
          </w:tcPr>
          <w:p w:rsidR="00AC5D57" w:rsidRDefault="00AC5D57" w:rsidP="00A80DEF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2"/>
              </w:rPr>
            </w:pPr>
            <w:proofErr w:type="spellStart"/>
            <w:r>
              <w:rPr>
                <w:rFonts w:cs="Arial"/>
                <w:sz w:val="22"/>
              </w:rPr>
              <w:t>Mersault</w:t>
            </w:r>
            <w:proofErr w:type="spellEnd"/>
            <w:r>
              <w:rPr>
                <w:rFonts w:cs="Arial"/>
                <w:sz w:val="22"/>
              </w:rPr>
              <w:t xml:space="preserve"> as </w:t>
            </w:r>
            <w:proofErr w:type="spellStart"/>
            <w:r>
              <w:rPr>
                <w:rFonts w:cs="Arial"/>
                <w:sz w:val="22"/>
              </w:rPr>
              <w:t>Sissyphus</w:t>
            </w:r>
            <w:proofErr w:type="spellEnd"/>
          </w:p>
          <w:p w:rsidR="00AC5D57" w:rsidRPr="001034AE" w:rsidRDefault="00AC5D57" w:rsidP="00A80DEF">
            <w:pPr>
              <w:pStyle w:val="ListParagraph"/>
              <w:rPr>
                <w:rFonts w:cs="Arial"/>
                <w:sz w:val="22"/>
              </w:rPr>
            </w:pP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>Spring Break</w:t>
            </w:r>
          </w:p>
        </w:tc>
        <w:tc>
          <w:tcPr>
            <w:tcW w:w="189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March 31-April 4</w:t>
            </w:r>
          </w:p>
        </w:tc>
        <w:tc>
          <w:tcPr>
            <w:tcW w:w="306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</w:p>
        </w:tc>
        <w:tc>
          <w:tcPr>
            <w:tcW w:w="405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</w:p>
        </w:tc>
      </w:tr>
      <w:tr w:rsidR="00AC5D57" w:rsidRPr="00B05AA6" w:rsidTr="00A80DEF">
        <w:tc>
          <w:tcPr>
            <w:tcW w:w="6138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 w:rsidRPr="00B05AA6">
              <w:rPr>
                <w:rFonts w:cs="Arial"/>
                <w:sz w:val="22"/>
              </w:rPr>
              <w:t xml:space="preserve">Be prepared to write an in –class essay response to an AP prompt about </w:t>
            </w:r>
            <w:r w:rsidRPr="00B05AA6">
              <w:rPr>
                <w:rFonts w:cs="Arial"/>
                <w:i/>
                <w:sz w:val="22"/>
              </w:rPr>
              <w:t>The Stranger</w:t>
            </w:r>
            <w:r w:rsidRPr="00B05AA6">
              <w:rPr>
                <w:rFonts w:cs="Arial"/>
                <w:sz w:val="22"/>
              </w:rPr>
              <w:t xml:space="preserve"> , and take a test on both the meaning and characteristics of Existentialism and the ways such meaning is present in </w:t>
            </w:r>
            <w:r w:rsidRPr="00B05AA6">
              <w:rPr>
                <w:rFonts w:cs="Arial"/>
                <w:i/>
                <w:sz w:val="22"/>
              </w:rPr>
              <w:t>The Stranger</w:t>
            </w:r>
            <w:r w:rsidRPr="00B05AA6">
              <w:rPr>
                <w:rFonts w:cs="Arial"/>
                <w:sz w:val="22"/>
              </w:rPr>
              <w:t xml:space="preserve">.  </w:t>
            </w:r>
            <w:r w:rsidRPr="00B05AA6">
              <w:rPr>
                <w:rFonts w:cs="Arial"/>
                <w:sz w:val="22"/>
              </w:rPr>
              <w:br/>
              <w:t xml:space="preserve">***Turn in copy of </w:t>
            </w:r>
            <w:r w:rsidRPr="00B05AA6">
              <w:rPr>
                <w:rFonts w:cs="Arial"/>
                <w:i/>
                <w:sz w:val="22"/>
              </w:rPr>
              <w:t>The Stranger</w:t>
            </w:r>
            <w:r w:rsidRPr="00B05AA6">
              <w:rPr>
                <w:rFonts w:cs="Arial"/>
                <w:sz w:val="22"/>
              </w:rPr>
              <w:t>!</w:t>
            </w:r>
          </w:p>
        </w:tc>
        <w:tc>
          <w:tcPr>
            <w:tcW w:w="189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Monday, April 8</w:t>
            </w:r>
          </w:p>
        </w:tc>
        <w:tc>
          <w:tcPr>
            <w:tcW w:w="306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</w:p>
        </w:tc>
        <w:tc>
          <w:tcPr>
            <w:tcW w:w="4050" w:type="dxa"/>
          </w:tcPr>
          <w:p w:rsidR="00AC5D57" w:rsidRPr="00B05AA6" w:rsidRDefault="00AC5D57" w:rsidP="00A80DEF">
            <w:pPr>
              <w:rPr>
                <w:rFonts w:cs="Arial"/>
                <w:sz w:val="22"/>
              </w:rPr>
            </w:pPr>
          </w:p>
        </w:tc>
      </w:tr>
    </w:tbl>
    <w:p w:rsidR="00AC5D57" w:rsidRPr="00B05AA6" w:rsidRDefault="00AC5D57" w:rsidP="00AC5D57">
      <w:pPr>
        <w:rPr>
          <w:rFonts w:cs="Arial"/>
          <w:sz w:val="22"/>
        </w:rPr>
      </w:pPr>
    </w:p>
    <w:p w:rsidR="00AC5D57" w:rsidRPr="00B05AA6" w:rsidRDefault="00AC5D57" w:rsidP="00AC5D57">
      <w:pPr>
        <w:rPr>
          <w:rFonts w:cs="Arial"/>
          <w:sz w:val="22"/>
        </w:rPr>
      </w:pPr>
    </w:p>
    <w:p w:rsidR="00F9080C" w:rsidRPr="00AC5D57" w:rsidRDefault="009207F2" w:rsidP="00AC5D57"/>
    <w:sectPr w:rsidR="00F9080C" w:rsidRPr="00AC5D57" w:rsidSect="00B05AA6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019A"/>
    <w:multiLevelType w:val="hybridMultilevel"/>
    <w:tmpl w:val="41B2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E7807"/>
    <w:multiLevelType w:val="hybridMultilevel"/>
    <w:tmpl w:val="11B6B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62CFF"/>
    <w:multiLevelType w:val="hybridMultilevel"/>
    <w:tmpl w:val="7992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A3113"/>
    <w:multiLevelType w:val="hybridMultilevel"/>
    <w:tmpl w:val="DBA83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B4FFB"/>
    <w:multiLevelType w:val="hybridMultilevel"/>
    <w:tmpl w:val="3E6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539AF"/>
    <w:multiLevelType w:val="hybridMultilevel"/>
    <w:tmpl w:val="047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976"/>
    <w:multiLevelType w:val="hybridMultilevel"/>
    <w:tmpl w:val="5B94C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C5D57"/>
    <w:rsid w:val="004A7F23"/>
    <w:rsid w:val="0077357A"/>
    <w:rsid w:val="009207F2"/>
    <w:rsid w:val="00A36CEE"/>
    <w:rsid w:val="00AC5D57"/>
    <w:rsid w:val="00B276A3"/>
    <w:rsid w:val="00CF1DE9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2448</Characters>
  <Application>Microsoft Office Word</Application>
  <DocSecurity>0</DocSecurity>
  <Lines>20</Lines>
  <Paragraphs>5</Paragraphs>
  <ScaleCrop>false</ScaleCrop>
  <Company>Wake County Schools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2</cp:revision>
  <cp:lastPrinted>2014-03-18T20:26:00Z</cp:lastPrinted>
  <dcterms:created xsi:type="dcterms:W3CDTF">2014-03-18T20:24:00Z</dcterms:created>
  <dcterms:modified xsi:type="dcterms:W3CDTF">2014-03-20T15:28:00Z</dcterms:modified>
</cp:coreProperties>
</file>